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s0mj6bf2xp4f" w:id="0"/>
      <w:bookmarkEnd w:id="0"/>
      <w:r w:rsidDel="00000000" w:rsidR="00000000" w:rsidRPr="00000000">
        <w:rPr>
          <w:rtl w:val="0"/>
        </w:rPr>
      </w:r>
    </w:p>
    <w:p w:rsidR="00000000" w:rsidDel="00000000" w:rsidP="00000000" w:rsidRDefault="00000000" w:rsidRPr="00000000" w14:paraId="00000002">
      <w:pPr>
        <w:pStyle w:val="Title"/>
        <w:jc w:val="center"/>
        <w:rPr/>
      </w:pPr>
      <w:bookmarkStart w:colFirst="0" w:colLast="0" w:name="_t5qsswigmbp1" w:id="1"/>
      <w:bookmarkEnd w:id="1"/>
      <w:r w:rsidDel="00000000" w:rsidR="00000000" w:rsidRPr="00000000">
        <w:rPr>
          <w:rtl w:val="0"/>
        </w:rPr>
      </w:r>
    </w:p>
    <w:p w:rsidR="00000000" w:rsidDel="00000000" w:rsidP="00000000" w:rsidRDefault="00000000" w:rsidRPr="00000000" w14:paraId="00000003">
      <w:pPr>
        <w:pStyle w:val="Title"/>
        <w:jc w:val="center"/>
        <w:rPr/>
      </w:pPr>
      <w:bookmarkStart w:colFirst="0" w:colLast="0" w:name="_fe49u2jdus5l" w:id="2"/>
      <w:bookmarkEnd w:id="2"/>
      <w:r w:rsidDel="00000000" w:rsidR="00000000" w:rsidRPr="00000000">
        <w:rPr>
          <w:rtl w:val="0"/>
        </w:rPr>
      </w:r>
    </w:p>
    <w:p w:rsidR="00000000" w:rsidDel="00000000" w:rsidP="00000000" w:rsidRDefault="00000000" w:rsidRPr="00000000" w14:paraId="00000004">
      <w:pPr>
        <w:pStyle w:val="Title"/>
        <w:jc w:val="center"/>
        <w:rPr/>
      </w:pPr>
      <w:bookmarkStart w:colFirst="0" w:colLast="0" w:name="_n5bz0gypm5c7" w:id="3"/>
      <w:bookmarkEnd w:id="3"/>
      <w:r w:rsidDel="00000000" w:rsidR="00000000" w:rsidRPr="00000000">
        <w:rPr>
          <w:rtl w:val="0"/>
        </w:rPr>
        <w:t xml:space="preserve">Deklaracja Dostępności</w:t>
      </w:r>
    </w:p>
    <w:p w:rsidR="00000000" w:rsidDel="00000000" w:rsidP="00000000" w:rsidRDefault="00000000" w:rsidRPr="00000000" w14:paraId="00000005">
      <w:pPr>
        <w:pStyle w:val="Subtitle"/>
        <w:jc w:val="center"/>
        <w:rPr>
          <w:rFonts w:ascii="Rubik" w:cs="Rubik" w:eastAsia="Rubik" w:hAnsi="Rubik"/>
          <w:sz w:val="22"/>
          <w:szCs w:val="22"/>
        </w:rPr>
      </w:pPr>
      <w:bookmarkStart w:colFirst="0" w:colLast="0" w:name="_ktkkrw3xf3rq" w:id="4"/>
      <w:bookmarkEnd w:id="4"/>
      <w:r w:rsidDel="00000000" w:rsidR="00000000" w:rsidRPr="00000000">
        <w:rPr>
          <w:rtl w:val="0"/>
        </w:rPr>
        <w:t xml:space="preserve">Wzór</w:t>
      </w:r>
      <w:r w:rsidDel="00000000" w:rsidR="00000000" w:rsidRPr="00000000">
        <w:rPr>
          <w:rtl w:val="0"/>
        </w:rPr>
      </w:r>
    </w:p>
    <w:p w:rsidR="00000000" w:rsidDel="00000000" w:rsidP="00000000" w:rsidRDefault="00000000" w:rsidRPr="00000000" w14:paraId="00000006">
      <w:pPr>
        <w:rPr>
          <w:rFonts w:ascii="Roboto" w:cs="Roboto" w:eastAsia="Roboto" w:hAnsi="Roboto"/>
        </w:rPr>
      </w:pPr>
      <w:r w:rsidDel="00000000" w:rsidR="00000000" w:rsidRPr="00000000">
        <w:rPr>
          <w:rtl w:val="0"/>
        </w:rPr>
      </w:r>
    </w:p>
    <w:p w:rsidR="00000000" w:rsidDel="00000000" w:rsidP="00000000" w:rsidRDefault="00000000" w:rsidRPr="00000000" w14:paraId="00000007">
      <w:pPr>
        <w:pStyle w:val="Heading1"/>
        <w:rPr/>
      </w:pPr>
      <w:bookmarkStart w:colFirst="0" w:colLast="0" w:name="_v15xd1citand" w:id="5"/>
      <w:bookmarkEnd w:id="5"/>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3"/>
        <w:keepNext w:val="0"/>
        <w:keepLines w:val="0"/>
        <w:spacing w:after="80" w:before="280" w:lineRule="auto"/>
        <w:rPr>
          <w:sz w:val="32"/>
          <w:szCs w:val="32"/>
        </w:rPr>
      </w:pPr>
      <w:bookmarkStart w:colFirst="0" w:colLast="0" w:name="_otrytr6cn9bn" w:id="6"/>
      <w:bookmarkEnd w:id="6"/>
      <w:r w:rsidDel="00000000" w:rsidR="00000000" w:rsidRPr="00000000">
        <w:rPr>
          <w:sz w:val="32"/>
          <w:szCs w:val="32"/>
          <w:rtl w:val="0"/>
        </w:rPr>
        <w:t xml:space="preserve">CZĘŚĆ 1: Poradnik – Jak przygotować Deklarację Dostępności?</w:t>
      </w:r>
    </w:p>
    <w:p w:rsidR="00000000" w:rsidDel="00000000" w:rsidP="00000000" w:rsidRDefault="00000000" w:rsidRPr="00000000" w14:paraId="00000009">
      <w:pPr>
        <w:spacing w:after="240" w:before="240" w:lineRule="auto"/>
        <w:rPr/>
      </w:pPr>
      <w:r w:rsidDel="00000000" w:rsidR="00000000" w:rsidRPr="00000000">
        <w:rPr>
          <w:rtl w:val="0"/>
        </w:rPr>
        <w:t xml:space="preserve">Deklaracja dostępności to wymagane prawem oświadczenie podmiotu publicznego, które opisuje dostępność strony internetowej, aplikacji mobilnej oraz budynku dla osób z niepełnosprawnościami.</w:t>
      </w:r>
    </w:p>
    <w:p w:rsidR="00000000" w:rsidDel="00000000" w:rsidP="00000000" w:rsidRDefault="00000000" w:rsidRPr="00000000" w14:paraId="0000000A">
      <w:pPr>
        <w:pStyle w:val="Heading4"/>
        <w:keepNext w:val="0"/>
        <w:keepLines w:val="0"/>
        <w:spacing w:after="40" w:before="240" w:lineRule="auto"/>
        <w:rPr>
          <w:rFonts w:ascii="Rubik" w:cs="Rubik" w:eastAsia="Rubik" w:hAnsi="Rubik"/>
          <w:b w:val="1"/>
          <w:bCs w:val="1"/>
          <w:color w:val="000000"/>
          <w:sz w:val="22"/>
          <w:szCs w:val="22"/>
        </w:rPr>
      </w:pPr>
      <w:bookmarkStart w:colFirst="0" w:colLast="0" w:name="_fn3qcxbk1w0n" w:id="7"/>
      <w:bookmarkEnd w:id="7"/>
      <w:r w:rsidDel="00000000" w:rsidR="00000000" w:rsidRPr="00000000">
        <w:rPr>
          <w:rtl w:val="0"/>
        </w:rPr>
        <w:t xml:space="preserve">1. Kogo i czego dotyczy?</w:t>
      </w:r>
      <w:r w:rsidDel="00000000" w:rsidR="00000000" w:rsidRPr="00000000">
        <w:rPr>
          <w:rtl w:val="0"/>
        </w:rPr>
      </w:r>
    </w:p>
    <w:p w:rsidR="00000000" w:rsidDel="00000000" w:rsidP="00000000" w:rsidRDefault="00000000" w:rsidRPr="00000000" w14:paraId="0000000B">
      <w:pPr>
        <w:numPr>
          <w:ilvl w:val="0"/>
          <w:numId w:val="4"/>
        </w:numPr>
        <w:spacing w:after="0" w:afterAutospacing="0" w:before="240" w:lineRule="auto"/>
        <w:ind w:left="720" w:hanging="360"/>
      </w:pPr>
      <w:r w:rsidDel="00000000" w:rsidR="00000000" w:rsidRPr="00000000">
        <w:rPr>
          <w:rtl w:val="0"/>
        </w:rPr>
        <w:t xml:space="preserve">Obowiązek dotyczy stron internetowych (od 23 września 2020 r.) oraz aplikacji mobilnych (od 23 czerwca 2021 r.).</w:t>
      </w:r>
    </w:p>
    <w:p w:rsidR="00000000" w:rsidDel="00000000" w:rsidP="00000000" w:rsidRDefault="00000000" w:rsidRPr="00000000" w14:paraId="0000000C">
      <w:pPr>
        <w:numPr>
          <w:ilvl w:val="0"/>
          <w:numId w:val="4"/>
        </w:numPr>
        <w:spacing w:after="240" w:before="0" w:beforeAutospacing="0" w:lineRule="auto"/>
        <w:ind w:left="720" w:hanging="360"/>
      </w:pPr>
      <w:r w:rsidDel="00000000" w:rsidR="00000000" w:rsidRPr="00000000">
        <w:rPr>
          <w:rtl w:val="0"/>
        </w:rPr>
        <w:t xml:space="preserve">Podmiot publiczny odpowiada za to, co posiada, finansuje i publikuje.</w:t>
      </w:r>
    </w:p>
    <w:p w:rsidR="00000000" w:rsidDel="00000000" w:rsidP="00000000" w:rsidRDefault="00000000" w:rsidRPr="00000000" w14:paraId="0000000D">
      <w:pPr>
        <w:pStyle w:val="Heading4"/>
        <w:keepNext w:val="0"/>
        <w:keepLines w:val="0"/>
        <w:spacing w:after="40" w:before="240" w:lineRule="auto"/>
        <w:rPr/>
      </w:pPr>
      <w:bookmarkStart w:colFirst="0" w:colLast="0" w:name="_466tgfhponm2" w:id="8"/>
      <w:bookmarkEnd w:id="8"/>
      <w:r w:rsidDel="00000000" w:rsidR="00000000" w:rsidRPr="00000000">
        <w:rPr>
          <w:rtl w:val="0"/>
        </w:rPr>
        <w:t xml:space="preserve">2. Przygotowanie danych (Audyt)</w:t>
      </w:r>
    </w:p>
    <w:p w:rsidR="00000000" w:rsidDel="00000000" w:rsidP="00000000" w:rsidRDefault="00000000" w:rsidRPr="00000000" w14:paraId="0000000E">
      <w:pPr>
        <w:spacing w:after="240" w:before="240" w:lineRule="auto"/>
        <w:rPr/>
      </w:pPr>
      <w:r w:rsidDel="00000000" w:rsidR="00000000" w:rsidRPr="00000000">
        <w:rPr>
          <w:rtl w:val="0"/>
        </w:rPr>
        <w:t xml:space="preserve">Zanim napiszesz deklarację, musisz sprawdzić stan dostępności. Możesz skorzystać z:</w:t>
      </w:r>
    </w:p>
    <w:p w:rsidR="00000000" w:rsidDel="00000000" w:rsidP="00000000" w:rsidRDefault="00000000" w:rsidRPr="00000000" w14:paraId="0000000F">
      <w:pPr>
        <w:numPr>
          <w:ilvl w:val="0"/>
          <w:numId w:val="2"/>
        </w:numPr>
        <w:spacing w:after="0" w:afterAutospacing="0" w:before="240" w:lineRule="auto"/>
        <w:ind w:left="720" w:hanging="360"/>
      </w:pPr>
      <w:r w:rsidDel="00000000" w:rsidR="00000000" w:rsidRPr="00000000">
        <w:rPr>
          <w:b w:val="1"/>
          <w:bCs w:val="1"/>
          <w:rtl w:val="0"/>
        </w:rPr>
        <w:t xml:space="preserve">Testów automatycznych:</w:t>
      </w:r>
      <w:r w:rsidDel="00000000" w:rsidR="00000000" w:rsidRPr="00000000">
        <w:rPr>
          <w:rtl w:val="0"/>
        </w:rPr>
        <w:t xml:space="preserve"> szybkie i tanie, ale badają tylko wybrane elementy.</w:t>
        <w:br w:type="textWrapping"/>
        <w:t xml:space="preserve">+1</w:t>
      </w:r>
    </w:p>
    <w:p w:rsidR="00000000" w:rsidDel="00000000" w:rsidP="00000000" w:rsidRDefault="00000000" w:rsidRPr="00000000" w14:paraId="00000010">
      <w:pPr>
        <w:numPr>
          <w:ilvl w:val="0"/>
          <w:numId w:val="2"/>
        </w:numPr>
        <w:spacing w:after="0" w:afterAutospacing="0" w:before="0" w:beforeAutospacing="0" w:lineRule="auto"/>
        <w:ind w:left="720" w:hanging="360"/>
      </w:pPr>
      <w:r w:rsidDel="00000000" w:rsidR="00000000" w:rsidRPr="00000000">
        <w:rPr>
          <w:b w:val="1"/>
          <w:bCs w:val="1"/>
          <w:rtl w:val="0"/>
        </w:rPr>
        <w:t xml:space="preserve">Listy kontrolnej (samodzielne badanie):</w:t>
      </w:r>
      <w:r w:rsidDel="00000000" w:rsidR="00000000" w:rsidRPr="00000000">
        <w:rPr>
          <w:rtl w:val="0"/>
        </w:rPr>
        <w:t xml:space="preserve"> pozwala znaleźć bariery blokujące użytkowników.</w:t>
      </w:r>
    </w:p>
    <w:p w:rsidR="00000000" w:rsidDel="00000000" w:rsidP="00000000" w:rsidRDefault="00000000" w:rsidRPr="00000000" w14:paraId="00000011">
      <w:pPr>
        <w:numPr>
          <w:ilvl w:val="0"/>
          <w:numId w:val="2"/>
        </w:numPr>
        <w:spacing w:after="0" w:afterAutospacing="0" w:before="0" w:beforeAutospacing="0" w:lineRule="auto"/>
        <w:ind w:left="720" w:hanging="360"/>
      </w:pPr>
      <w:r w:rsidDel="00000000" w:rsidR="00000000" w:rsidRPr="00000000">
        <w:rPr>
          <w:b w:val="1"/>
          <w:bCs w:val="1"/>
          <w:rtl w:val="0"/>
        </w:rPr>
        <w:t xml:space="preserve">Badań eksperckich:</w:t>
      </w:r>
      <w:r w:rsidDel="00000000" w:rsidR="00000000" w:rsidRPr="00000000">
        <w:rPr>
          <w:rtl w:val="0"/>
        </w:rPr>
        <w:t xml:space="preserve"> najbardziej rzetelne, dają pewność zgodności z ustawą, ale są kosztowne i czasochłonne.</w:t>
        <w:br w:type="textWrapping"/>
        <w:t xml:space="preserve">+1</w:t>
      </w:r>
    </w:p>
    <w:p w:rsidR="00000000" w:rsidDel="00000000" w:rsidP="00000000" w:rsidRDefault="00000000" w:rsidRPr="00000000" w14:paraId="00000012">
      <w:pPr>
        <w:numPr>
          <w:ilvl w:val="0"/>
          <w:numId w:val="2"/>
        </w:numPr>
        <w:spacing w:after="0" w:afterAutospacing="0" w:before="0" w:beforeAutospacing="0" w:lineRule="auto"/>
        <w:ind w:left="720" w:hanging="360"/>
      </w:pPr>
      <w:r w:rsidDel="00000000" w:rsidR="00000000" w:rsidRPr="00000000">
        <w:rPr>
          <w:b w:val="1"/>
          <w:bCs w:val="1"/>
          <w:rtl w:val="0"/>
        </w:rPr>
        <w:t xml:space="preserve">Testów z użytkownikami:</w:t>
      </w:r>
      <w:r w:rsidDel="00000000" w:rsidR="00000000" w:rsidRPr="00000000">
        <w:rPr>
          <w:rtl w:val="0"/>
        </w:rPr>
        <w:t xml:space="preserve"> pokazują realne problemy w używaniu serwisu.</w:t>
      </w:r>
    </w:p>
    <w:p w:rsidR="00000000" w:rsidDel="00000000" w:rsidP="00000000" w:rsidRDefault="00000000" w:rsidRPr="00000000" w14:paraId="00000013">
      <w:pPr>
        <w:numPr>
          <w:ilvl w:val="0"/>
          <w:numId w:val="2"/>
        </w:numPr>
        <w:spacing w:after="240" w:before="0" w:beforeAutospacing="0" w:lineRule="auto"/>
        <w:ind w:left="720" w:hanging="360"/>
      </w:pPr>
      <w:r w:rsidDel="00000000" w:rsidR="00000000" w:rsidRPr="00000000">
        <w:rPr>
          <w:b w:val="1"/>
          <w:bCs w:val="1"/>
          <w:rtl w:val="0"/>
        </w:rPr>
        <w:t xml:space="preserve">Metod mieszanych:</w:t>
      </w:r>
      <w:r w:rsidDel="00000000" w:rsidR="00000000" w:rsidRPr="00000000">
        <w:rPr>
          <w:rtl w:val="0"/>
        </w:rPr>
        <w:t xml:space="preserve"> np. samodzielne testy + badanie eksperckie kluczowych podstron.</w:t>
      </w:r>
    </w:p>
    <w:p w:rsidR="00000000" w:rsidDel="00000000" w:rsidP="00000000" w:rsidRDefault="00000000" w:rsidRPr="00000000" w14:paraId="00000014">
      <w:pPr>
        <w:pStyle w:val="Heading4"/>
        <w:keepNext w:val="0"/>
        <w:keepLines w:val="0"/>
        <w:spacing w:after="40" w:before="240" w:lineRule="auto"/>
        <w:rPr>
          <w:rFonts w:ascii="Rubik" w:cs="Rubik" w:eastAsia="Rubik" w:hAnsi="Rubik"/>
          <w:b w:val="1"/>
          <w:bCs w:val="1"/>
          <w:color w:val="000000"/>
          <w:sz w:val="22"/>
          <w:szCs w:val="22"/>
        </w:rPr>
      </w:pPr>
      <w:bookmarkStart w:colFirst="0" w:colLast="0" w:name="_dxj5spdoj578" w:id="9"/>
      <w:bookmarkEnd w:id="9"/>
      <w:r w:rsidDel="00000000" w:rsidR="00000000" w:rsidRPr="00000000">
        <w:rPr>
          <w:rtl w:val="0"/>
        </w:rPr>
        <w:t xml:space="preserve">3. Konstrukcja dokumentu</w: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Deklaracja składa się z trzech rodzajów treści:</w:t>
      </w:r>
    </w:p>
    <w:p w:rsidR="00000000" w:rsidDel="00000000" w:rsidP="00000000" w:rsidRDefault="00000000" w:rsidRPr="00000000" w14:paraId="00000016">
      <w:pPr>
        <w:numPr>
          <w:ilvl w:val="0"/>
          <w:numId w:val="5"/>
        </w:numPr>
        <w:spacing w:after="0" w:afterAutospacing="0" w:before="240" w:lineRule="auto"/>
        <w:ind w:left="720" w:hanging="360"/>
      </w:pPr>
      <w:r w:rsidDel="00000000" w:rsidR="00000000" w:rsidRPr="00000000">
        <w:rPr>
          <w:b w:val="1"/>
          <w:bCs w:val="1"/>
          <w:rtl w:val="0"/>
        </w:rPr>
        <w:t xml:space="preserve">Obowiązkowe:</w:t>
      </w:r>
      <w:r w:rsidDel="00000000" w:rsidR="00000000" w:rsidRPr="00000000">
        <w:rPr>
          <w:rtl w:val="0"/>
        </w:rPr>
        <w:t xml:space="preserve"> muszą brzmieć dokładnie tak, jak we wzorze (np. nagłówki, formułki prawne).</w:t>
      </w:r>
    </w:p>
    <w:p w:rsidR="00000000" w:rsidDel="00000000" w:rsidP="00000000" w:rsidRDefault="00000000" w:rsidRPr="00000000" w14:paraId="00000017">
      <w:pPr>
        <w:numPr>
          <w:ilvl w:val="0"/>
          <w:numId w:val="5"/>
        </w:numPr>
        <w:spacing w:after="0" w:afterAutospacing="0" w:before="0" w:beforeAutospacing="0" w:lineRule="auto"/>
        <w:ind w:left="720" w:hanging="360"/>
      </w:pPr>
      <w:r w:rsidDel="00000000" w:rsidR="00000000" w:rsidRPr="00000000">
        <w:rPr>
          <w:b w:val="1"/>
          <w:bCs w:val="1"/>
          <w:rtl w:val="0"/>
        </w:rPr>
        <w:t xml:space="preserve">Konieczne:</w:t>
      </w:r>
      <w:r w:rsidDel="00000000" w:rsidR="00000000" w:rsidRPr="00000000">
        <w:rPr>
          <w:rtl w:val="0"/>
        </w:rPr>
        <w:t xml:space="preserve"> opisane własnymi słowami, ale zawierające wymagane elementy (np. opis architektury).</w:t>
      </w:r>
    </w:p>
    <w:p w:rsidR="00000000" w:rsidDel="00000000" w:rsidP="00000000" w:rsidRDefault="00000000" w:rsidRPr="00000000" w14:paraId="00000018">
      <w:pPr>
        <w:numPr>
          <w:ilvl w:val="0"/>
          <w:numId w:val="5"/>
        </w:numPr>
        <w:spacing w:after="240" w:before="0" w:beforeAutospacing="0" w:lineRule="auto"/>
        <w:ind w:left="720" w:hanging="360"/>
      </w:pPr>
      <w:r w:rsidDel="00000000" w:rsidR="00000000" w:rsidRPr="00000000">
        <w:rPr>
          <w:b w:val="1"/>
          <w:bCs w:val="1"/>
          <w:rtl w:val="0"/>
        </w:rPr>
        <w:t xml:space="preserve">Nieobowiązkowe:</w:t>
      </w:r>
      <w:r w:rsidDel="00000000" w:rsidR="00000000" w:rsidRPr="00000000">
        <w:rPr>
          <w:rtl w:val="0"/>
        </w:rPr>
        <w:t xml:space="preserve"> dodatkowe informacje przydatne dla użytkowników.</w:t>
      </w:r>
    </w:p>
    <w:p w:rsidR="00000000" w:rsidDel="00000000" w:rsidP="00000000" w:rsidRDefault="00000000" w:rsidRPr="00000000" w14:paraId="00000019">
      <w:pPr>
        <w:pStyle w:val="Heading4"/>
        <w:keepNext w:val="0"/>
        <w:keepLines w:val="0"/>
        <w:spacing w:after="40" w:before="240" w:lineRule="auto"/>
        <w:rPr>
          <w:rFonts w:ascii="Rubik" w:cs="Rubik" w:eastAsia="Rubik" w:hAnsi="Rubik"/>
          <w:b w:val="1"/>
          <w:bCs w:val="1"/>
          <w:color w:val="000000"/>
          <w:sz w:val="22"/>
          <w:szCs w:val="22"/>
        </w:rPr>
      </w:pPr>
      <w:bookmarkStart w:colFirst="0" w:colLast="0" w:name="_406i6l9pspt1" w:id="10"/>
      <w:bookmarkEnd w:id="10"/>
      <w:r w:rsidDel="00000000" w:rsidR="00000000" w:rsidRPr="00000000">
        <w:rPr>
          <w:rtl w:val="0"/>
        </w:rPr>
        <w:t xml:space="preserve">4. Publikacja i aktualizacja</w:t>
      </w:r>
      <w:r w:rsidDel="00000000" w:rsidR="00000000" w:rsidRPr="00000000">
        <w:rPr>
          <w:rtl w:val="0"/>
        </w:rPr>
      </w:r>
    </w:p>
    <w:p w:rsidR="00000000" w:rsidDel="00000000" w:rsidP="00000000" w:rsidRDefault="00000000" w:rsidRPr="00000000" w14:paraId="0000001A">
      <w:pPr>
        <w:numPr>
          <w:ilvl w:val="0"/>
          <w:numId w:val="8"/>
        </w:numPr>
        <w:spacing w:after="0" w:afterAutospacing="0" w:before="240" w:lineRule="auto"/>
        <w:ind w:left="720" w:hanging="360"/>
      </w:pPr>
      <w:r w:rsidDel="00000000" w:rsidR="00000000" w:rsidRPr="00000000">
        <w:rPr>
          <w:rtl w:val="0"/>
        </w:rPr>
        <w:t xml:space="preserve">Deklarację publikuje się na stronie internetowej, linkując do niej w stopce lub nagłówku.</w:t>
      </w:r>
    </w:p>
    <w:p w:rsidR="00000000" w:rsidDel="00000000" w:rsidP="00000000" w:rsidRDefault="00000000" w:rsidRPr="00000000" w14:paraId="0000001B">
      <w:pPr>
        <w:numPr>
          <w:ilvl w:val="0"/>
          <w:numId w:val="8"/>
        </w:numPr>
        <w:spacing w:after="0" w:afterAutospacing="0" w:before="0" w:beforeAutospacing="0" w:lineRule="auto"/>
        <w:ind w:left="720" w:hanging="360"/>
      </w:pPr>
      <w:r w:rsidDel="00000000" w:rsidR="00000000" w:rsidRPr="00000000">
        <w:rPr>
          <w:rtl w:val="0"/>
        </w:rPr>
        <w:t xml:space="preserve">Przegląd deklaracji jest obowiązkowy co najmniej raz w roku (do 31 marca).</w:t>
      </w:r>
    </w:p>
    <w:p w:rsidR="00000000" w:rsidDel="00000000" w:rsidP="00000000" w:rsidRDefault="00000000" w:rsidRPr="00000000" w14:paraId="0000001C">
      <w:pPr>
        <w:numPr>
          <w:ilvl w:val="0"/>
          <w:numId w:val="8"/>
        </w:numPr>
        <w:spacing w:after="240" w:before="0" w:beforeAutospacing="0" w:lineRule="auto"/>
        <w:ind w:left="720" w:hanging="360"/>
      </w:pPr>
      <w:r w:rsidDel="00000000" w:rsidR="00000000" w:rsidRPr="00000000">
        <w:rPr>
          <w:rtl w:val="0"/>
        </w:rPr>
        <w:t xml:space="preserve">Brak deklaracji grozi karą do 5000 zł.</w:t>
      </w:r>
    </w:p>
    <w:p w:rsidR="00000000" w:rsidDel="00000000" w:rsidP="00000000" w:rsidRDefault="00000000" w:rsidRPr="00000000" w14:paraId="000000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3"/>
        <w:keepNext w:val="0"/>
        <w:keepLines w:val="0"/>
        <w:spacing w:after="80" w:before="280" w:lineRule="auto"/>
        <w:rPr>
          <w:rFonts w:ascii="Rubik" w:cs="Rubik" w:eastAsia="Rubik" w:hAnsi="Rubik"/>
          <w:b w:val="1"/>
          <w:bCs w:val="1"/>
          <w:color w:val="000000"/>
          <w:sz w:val="26"/>
          <w:szCs w:val="26"/>
        </w:rPr>
      </w:pPr>
      <w:bookmarkStart w:colFirst="0" w:colLast="0" w:name="_fyw0shzay2c3" w:id="11"/>
      <w:bookmarkEnd w:id="11"/>
      <w:r w:rsidDel="00000000" w:rsidR="00000000" w:rsidRPr="00000000">
        <w:rPr>
          <w:sz w:val="32"/>
          <w:szCs w:val="32"/>
          <w:rtl w:val="0"/>
        </w:rPr>
        <w:t xml:space="preserve">CZĘŚĆ 2: Szablon Deklaracji Dostępności (do uzupełnienia)</w:t>
      </w: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rtl w:val="0"/>
        </w:rPr>
        <w:t xml:space="preserve">Poniżej znajduje się wzór opracowany na podstawie slajdów. Teksty w nawiasach kwadratowych </w:t>
      </w:r>
      <w:r w:rsidDel="00000000" w:rsidR="00000000" w:rsidRPr="00000000">
        <w:rPr>
          <w:rFonts w:ascii="Roboto Mono" w:cs="Roboto Mono" w:eastAsia="Roboto Mono" w:hAnsi="Roboto Mono"/>
          <w:color w:val="188038"/>
          <w:rtl w:val="0"/>
        </w:rPr>
        <w:t xml:space="preserve">[...]</w:t>
      </w:r>
      <w:r w:rsidDel="00000000" w:rsidR="00000000" w:rsidRPr="00000000">
        <w:rPr>
          <w:rtl w:val="0"/>
        </w:rPr>
        <w:t xml:space="preserve"> należy uzupełnić swoimi danymi lub wybrać właściwą opcję.</w:t>
      </w:r>
    </w:p>
    <w:p w:rsidR="00000000" w:rsidDel="00000000" w:rsidP="00000000" w:rsidRDefault="00000000" w:rsidRPr="00000000" w14:paraId="00000020">
      <w:pPr>
        <w:spacing w:after="240" w:before="240" w:lineRule="auto"/>
        <w:ind w:left="600" w:right="600" w:firstLine="0"/>
        <w:rPr/>
      </w:pPr>
      <w:r w:rsidDel="00000000" w:rsidR="00000000" w:rsidRPr="00000000">
        <w:rPr>
          <w:b w:val="1"/>
          <w:bCs w:val="1"/>
          <w:rtl w:val="0"/>
        </w:rPr>
        <w:t xml:space="preserve">Ważne:</w:t>
      </w:r>
      <w:r w:rsidDel="00000000" w:rsidR="00000000" w:rsidRPr="00000000">
        <w:rPr>
          <w:rtl w:val="0"/>
        </w:rPr>
        <w:t xml:space="preserve"> W kodzie HTML deklaracji powinny znaleźć się specyficzne znaczniki (np. </w:t>
      </w:r>
      <w:r w:rsidDel="00000000" w:rsidR="00000000" w:rsidRPr="00000000">
        <w:rPr>
          <w:rFonts w:ascii="Roboto Mono" w:cs="Roboto Mono" w:eastAsia="Roboto Mono" w:hAnsi="Roboto Mono"/>
          <w:color w:val="188038"/>
          <w:rtl w:val="0"/>
        </w:rPr>
        <w:t xml:space="preserve">id="a11y-status"</w:t>
      </w:r>
      <w:r w:rsidDel="00000000" w:rsidR="00000000" w:rsidRPr="00000000">
        <w:rPr>
          <w:rtl w:val="0"/>
        </w:rPr>
        <w:t xml:space="preserve">), wymagane przez Warunki Techniczne. Jeśli nie znasz HTML, poproś o pomoc informatyka.</w:t>
      </w:r>
    </w:p>
    <w:p w:rsidR="00000000" w:rsidDel="00000000" w:rsidP="00000000" w:rsidRDefault="00000000" w:rsidRPr="00000000" w14:paraId="000000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Style w:val="Heading4"/>
        <w:keepNext w:val="0"/>
        <w:keepLines w:val="0"/>
        <w:spacing w:after="40" w:before="240" w:lineRule="auto"/>
        <w:rPr>
          <w:rFonts w:ascii="Rubik" w:cs="Rubik" w:eastAsia="Rubik" w:hAnsi="Rubik"/>
          <w:b w:val="1"/>
          <w:bCs w:val="1"/>
          <w:color w:val="000000"/>
          <w:sz w:val="22"/>
          <w:szCs w:val="22"/>
        </w:rPr>
      </w:pPr>
      <w:bookmarkStart w:colFirst="0" w:colLast="0" w:name="_abl6ope90ptm" w:id="12"/>
      <w:bookmarkEnd w:id="12"/>
      <w:r w:rsidDel="00000000" w:rsidR="00000000" w:rsidRPr="00000000">
        <w:rPr>
          <w:rtl w:val="0"/>
        </w:rPr>
        <w:t xml:space="preserve">Deklaracja dostępności</w:t>
      </w:r>
      <w:r w:rsidDel="00000000" w:rsidR="00000000" w:rsidRPr="00000000">
        <w:rPr>
          <w:rtl w:val="0"/>
        </w:rPr>
      </w:r>
    </w:p>
    <w:p w:rsidR="00000000" w:rsidDel="00000000" w:rsidP="00000000" w:rsidRDefault="00000000" w:rsidRPr="00000000" w14:paraId="00000023">
      <w:pPr>
        <w:spacing w:after="240" w:before="240" w:lineRule="auto"/>
        <w:rPr/>
      </w:pPr>
      <w:r w:rsidDel="00000000" w:rsidR="00000000" w:rsidRPr="00000000">
        <w:rPr>
          <w:b w:val="1"/>
          <w:bCs w:val="1"/>
          <w:rtl w:val="0"/>
        </w:rPr>
        <w:t xml:space="preserve">Wstęp</w:t>
      </w:r>
      <w:r w:rsidDel="00000000" w:rsidR="00000000" w:rsidRPr="00000000">
        <w:rPr>
          <w:rtl w:val="0"/>
        </w:rPr>
        <w:t xml:space="preserve"> [Nazwa podmiotu publicznego] zobowiązuje się zapewnić dostępność swojej strony internetowej zgodnie z przepisami ustawy z dnia 4 kwietnia 2019 r. o dostępności cyfrowej stron internetowych i aplikacji mobilnych podmiotów publicznych. Oświadczenie o dostępności dotyczy strony internetowej [adres url strony internetowej].</w:t>
      </w:r>
    </w:p>
    <w:p w:rsidR="00000000" w:rsidDel="00000000" w:rsidP="00000000" w:rsidRDefault="00000000" w:rsidRPr="00000000" w14:paraId="00000024">
      <w:pPr>
        <w:spacing w:after="240" w:before="240" w:lineRule="auto"/>
        <w:rPr/>
      </w:pPr>
      <w:r w:rsidDel="00000000" w:rsidR="00000000" w:rsidRPr="00000000">
        <w:rPr>
          <w:rtl w:val="0"/>
        </w:rPr>
        <w:t xml:space="preserve">Data publikacji strony: [RRRR-MM-DD]. Data ostatniej aktualizacji strony: [RRRR-MM-DD].</w:t>
      </w:r>
    </w:p>
    <w:p w:rsidR="00000000" w:rsidDel="00000000" w:rsidP="00000000" w:rsidRDefault="00000000" w:rsidRPr="00000000" w14:paraId="00000025">
      <w:pPr>
        <w:spacing w:after="240" w:before="240" w:lineRule="auto"/>
        <w:rPr>
          <w:i w:val="1"/>
          <w:iCs w:val="1"/>
        </w:rPr>
      </w:pPr>
      <w:r w:rsidDel="00000000" w:rsidR="00000000" w:rsidRPr="00000000">
        <w:rPr>
          <w:b w:val="1"/>
          <w:bCs w:val="1"/>
          <w:rtl w:val="0"/>
        </w:rPr>
        <w:t xml:space="preserve">Status pod względem zgodności</w:t>
      </w:r>
      <w:r w:rsidDel="00000000" w:rsidR="00000000" w:rsidRPr="00000000">
        <w:rPr>
          <w:rtl w:val="0"/>
        </w:rPr>
        <w:t xml:space="preserve"> </w:t>
      </w:r>
      <w:r w:rsidDel="00000000" w:rsidR="00000000" w:rsidRPr="00000000">
        <w:rPr>
          <w:i w:val="1"/>
          <w:iCs w:val="1"/>
          <w:rtl w:val="0"/>
        </w:rPr>
        <w:t xml:space="preserve">[Wybierz jedną z trzech poniższych opcji i usuń pozostałe]</w:t>
      </w:r>
    </w:p>
    <w:p w:rsidR="00000000" w:rsidDel="00000000" w:rsidP="00000000" w:rsidRDefault="00000000" w:rsidRPr="00000000" w14:paraId="00000026">
      <w:pPr>
        <w:numPr>
          <w:ilvl w:val="0"/>
          <w:numId w:val="9"/>
        </w:numPr>
        <w:spacing w:after="0" w:afterAutospacing="0" w:before="240" w:lineRule="auto"/>
        <w:ind w:left="720" w:hanging="360"/>
      </w:pPr>
      <w:r w:rsidDel="00000000" w:rsidR="00000000" w:rsidRPr="00000000">
        <w:rPr>
          <w:b w:val="1"/>
          <w:bCs w:val="1"/>
          <w:rtl w:val="0"/>
        </w:rPr>
        <w:t xml:space="preserve">Opcja 1:</w:t>
      </w:r>
      <w:r w:rsidDel="00000000" w:rsidR="00000000" w:rsidRPr="00000000">
        <w:rPr>
          <w:rtl w:val="0"/>
        </w:rPr>
        <w:t xml:space="preserve"> Ta strona internetowa jest w pełni zgodna z ustawą z dnia 4 kwietnia 2019 r. o dostępności cyfrowej stron internetowych i aplikacji mobilnych podmiotów publicznych.</w:t>
      </w:r>
    </w:p>
    <w:p w:rsidR="00000000" w:rsidDel="00000000" w:rsidP="00000000" w:rsidRDefault="00000000" w:rsidRPr="00000000" w14:paraId="00000027">
      <w:pPr>
        <w:numPr>
          <w:ilvl w:val="0"/>
          <w:numId w:val="9"/>
        </w:numPr>
        <w:spacing w:after="0" w:afterAutospacing="0" w:before="0" w:beforeAutospacing="0" w:lineRule="auto"/>
        <w:ind w:left="720" w:hanging="360"/>
      </w:pPr>
      <w:r w:rsidDel="00000000" w:rsidR="00000000" w:rsidRPr="00000000">
        <w:rPr>
          <w:b w:val="1"/>
          <w:bCs w:val="1"/>
          <w:rtl w:val="0"/>
        </w:rPr>
        <w:t xml:space="preserve">Opcja 2:</w:t>
      </w:r>
      <w:r w:rsidDel="00000000" w:rsidR="00000000" w:rsidRPr="00000000">
        <w:rPr>
          <w:rtl w:val="0"/>
        </w:rPr>
        <w:t xml:space="preserve"> Ta strona internetowa jest częściowo zgodna z ustawą z dnia 4 kwietnia 2019 r. o dostępności cyfrowej stron internetowych i aplikacji mobilnych podmiotów publicznych z powodu [wpisz: niezgodności / wyłączeń / niezgodności i wyłączeń] wymienionych poniżej.</w:t>
      </w:r>
    </w:p>
    <w:p w:rsidR="00000000" w:rsidDel="00000000" w:rsidP="00000000" w:rsidRDefault="00000000" w:rsidRPr="00000000" w14:paraId="00000028">
      <w:pPr>
        <w:numPr>
          <w:ilvl w:val="0"/>
          <w:numId w:val="9"/>
        </w:numPr>
        <w:spacing w:after="240" w:before="0" w:beforeAutospacing="0" w:lineRule="auto"/>
        <w:ind w:left="720" w:hanging="360"/>
      </w:pPr>
      <w:r w:rsidDel="00000000" w:rsidR="00000000" w:rsidRPr="00000000">
        <w:rPr>
          <w:b w:val="1"/>
          <w:bCs w:val="1"/>
          <w:rtl w:val="0"/>
        </w:rPr>
        <w:t xml:space="preserve">Opcja 3:</w:t>
      </w:r>
      <w:r w:rsidDel="00000000" w:rsidR="00000000" w:rsidRPr="00000000">
        <w:rPr>
          <w:rtl w:val="0"/>
        </w:rPr>
        <w:t xml:space="preserve"> Ta strona internetowa jest niezgodna z ustawą z dnia 4 kwietnia 2019 r. o dostępności cyfrowej stron internetowych i aplikacji mobilnych podmiotów publicznych z powodu [wpisz: niezgodności / wyłączeń / niezgodności i wyłączeń] wymienionych poniżej.</w:t>
      </w:r>
    </w:p>
    <w:p w:rsidR="00000000" w:rsidDel="00000000" w:rsidP="00000000" w:rsidRDefault="00000000" w:rsidRPr="00000000" w14:paraId="00000029">
      <w:pPr>
        <w:spacing w:after="240" w:before="240" w:lineRule="auto"/>
        <w:rPr/>
      </w:pPr>
      <w:r w:rsidDel="00000000" w:rsidR="00000000" w:rsidRPr="00000000">
        <w:rPr>
          <w:b w:val="1"/>
          <w:bCs w:val="1"/>
          <w:rtl w:val="0"/>
        </w:rPr>
        <w:t xml:space="preserve">Treści niedostępne</w:t>
      </w:r>
      <w:r w:rsidDel="00000000" w:rsidR="00000000" w:rsidRPr="00000000">
        <w:rPr>
          <w:rtl w:val="0"/>
        </w:rPr>
        <w:t xml:space="preserve"> </w:t>
      </w:r>
      <w:r w:rsidDel="00000000" w:rsidR="00000000" w:rsidRPr="00000000">
        <w:rPr>
          <w:i w:val="1"/>
          <w:iCs w:val="1"/>
          <w:rtl w:val="0"/>
        </w:rPr>
        <w:t xml:space="preserve">[Wypełnij tylko jeśli wybrałeś Opcję 2 lub 3. Jeśli strona jest w pełni zgodna, usuń tę sekcję]</w:t>
      </w:r>
      <w:r w:rsidDel="00000000" w:rsidR="00000000" w:rsidRPr="00000000">
        <w:rPr>
          <w:rtl w:val="0"/>
        </w:rPr>
        <w:t xml:space="preserve"> Treści wymienione poniżej są niedostępne z następujących powodów:</w:t>
      </w:r>
    </w:p>
    <w:p w:rsidR="00000000" w:rsidDel="00000000" w:rsidP="00000000" w:rsidRDefault="00000000" w:rsidRPr="00000000" w14:paraId="0000002A">
      <w:pPr>
        <w:numPr>
          <w:ilvl w:val="0"/>
          <w:numId w:val="1"/>
        </w:numPr>
        <w:spacing w:after="0" w:afterAutospacing="0" w:before="240" w:lineRule="auto"/>
        <w:ind w:left="720" w:hanging="360"/>
      </w:pPr>
      <w:r w:rsidDel="00000000" w:rsidR="00000000" w:rsidRPr="00000000">
        <w:rPr>
          <w:b w:val="1"/>
          <w:bCs w:val="1"/>
          <w:rtl w:val="0"/>
        </w:rPr>
        <w:t xml:space="preserve">Niezgodności z ustawą:</w:t>
      </w:r>
      <w:r w:rsidDel="00000000" w:rsidR="00000000" w:rsidRPr="00000000">
        <w:rPr>
          <w:rtl w:val="0"/>
        </w:rPr>
        <w:t xml:space="preserve"> [Opisz błędy, np. "W części filmów nie ma napisów"].</w:t>
      </w:r>
    </w:p>
    <w:p w:rsidR="00000000" w:rsidDel="00000000" w:rsidP="00000000" w:rsidRDefault="00000000" w:rsidRPr="00000000" w14:paraId="0000002B">
      <w:pPr>
        <w:numPr>
          <w:ilvl w:val="0"/>
          <w:numId w:val="1"/>
        </w:numPr>
        <w:spacing w:after="0" w:afterAutospacing="0" w:before="0" w:beforeAutospacing="0" w:lineRule="auto"/>
        <w:ind w:left="720" w:hanging="360"/>
      </w:pPr>
      <w:r w:rsidDel="00000000" w:rsidR="00000000" w:rsidRPr="00000000">
        <w:rPr>
          <w:b w:val="1"/>
          <w:bCs w:val="1"/>
          <w:rtl w:val="0"/>
        </w:rPr>
        <w:t xml:space="preserve">Wyłączenia:</w:t>
      </w:r>
      <w:r w:rsidDel="00000000" w:rsidR="00000000" w:rsidRPr="00000000">
        <w:rPr>
          <w:rtl w:val="0"/>
        </w:rPr>
        <w:t xml:space="preserve"> [Opisz wyłączenia prawne, np. "Dokumenty opublikowane przed 23 września 2018 r."].</w:t>
      </w:r>
    </w:p>
    <w:p w:rsidR="00000000" w:rsidDel="00000000" w:rsidP="00000000" w:rsidRDefault="00000000" w:rsidRPr="00000000" w14:paraId="0000002C">
      <w:pPr>
        <w:numPr>
          <w:ilvl w:val="0"/>
          <w:numId w:val="1"/>
        </w:numPr>
        <w:spacing w:after="240" w:before="0" w:beforeAutospacing="0" w:lineRule="auto"/>
        <w:ind w:left="720" w:hanging="360"/>
      </w:pPr>
      <w:r w:rsidDel="00000000" w:rsidR="00000000" w:rsidRPr="00000000">
        <w:rPr>
          <w:b w:val="1"/>
          <w:bCs w:val="1"/>
          <w:rtl w:val="0"/>
        </w:rPr>
        <w:t xml:space="preserve">Nadmierne koszty:</w:t>
      </w:r>
      <w:r w:rsidDel="00000000" w:rsidR="00000000" w:rsidRPr="00000000">
        <w:rPr>
          <w:rtl w:val="0"/>
        </w:rPr>
        <w:t xml:space="preserve"> [Jeśli dotyczy, opisz wyniki analizy kosztów].</w:t>
      </w:r>
    </w:p>
    <w:p w:rsidR="00000000" w:rsidDel="00000000" w:rsidP="00000000" w:rsidRDefault="00000000" w:rsidRPr="00000000" w14:paraId="0000002D">
      <w:pPr>
        <w:spacing w:after="240" w:before="240" w:lineRule="auto"/>
        <w:rPr/>
      </w:pPr>
      <w:r w:rsidDel="00000000" w:rsidR="00000000" w:rsidRPr="00000000">
        <w:rPr>
          <w:b w:val="1"/>
          <w:bCs w:val="1"/>
          <w:rtl w:val="0"/>
        </w:rPr>
        <w:t xml:space="preserve">Przygotowanie deklaracji dostępności</w:t>
      </w:r>
      <w:r w:rsidDel="00000000" w:rsidR="00000000" w:rsidRPr="00000000">
        <w:rPr>
          <w:rtl w:val="0"/>
        </w:rPr>
        <w:t xml:space="preserve"> Oświadczenie sporządzono dnia: [RRRR-MM-DD]. Deklarację sporządzono na podstawie: [Wybierz: samooceny przeprowadzonej przez podmiot publiczny / badania przeprowadzonego przez podmiot zewnętrzny]. Data ostatniego przeglądu deklaracji: [RRRR-MM-DD].</w:t>
      </w:r>
    </w:p>
    <w:p w:rsidR="00000000" w:rsidDel="00000000" w:rsidP="00000000" w:rsidRDefault="00000000" w:rsidRPr="00000000" w14:paraId="0000002E">
      <w:pPr>
        <w:rPr/>
      </w:pPr>
      <w:r w:rsidDel="00000000" w:rsidR="00000000" w:rsidRPr="00000000">
        <w:rPr>
          <w:rtl w:val="0"/>
        </w:rPr>
        <w:t xml:space="preserve">+1</w:t>
      </w:r>
    </w:p>
    <w:p w:rsidR="00000000" w:rsidDel="00000000" w:rsidP="00000000" w:rsidRDefault="00000000" w:rsidRPr="00000000" w14:paraId="0000002F">
      <w:pPr>
        <w:spacing w:after="240" w:before="240" w:lineRule="auto"/>
        <w:rPr>
          <w:i w:val="1"/>
          <w:iCs w:val="1"/>
        </w:rPr>
      </w:pPr>
      <w:r w:rsidDel="00000000" w:rsidR="00000000" w:rsidRPr="00000000">
        <w:rPr>
          <w:b w:val="1"/>
          <w:bCs w:val="1"/>
          <w:rtl w:val="0"/>
        </w:rPr>
        <w:t xml:space="preserve">Skróty klawiaturowe</w:t>
      </w:r>
      <w:r w:rsidDel="00000000" w:rsidR="00000000" w:rsidRPr="00000000">
        <w:rPr>
          <w:rtl w:val="0"/>
        </w:rPr>
        <w:t xml:space="preserve"> </w:t>
      </w:r>
      <w:r w:rsidDel="00000000" w:rsidR="00000000" w:rsidRPr="00000000">
        <w:rPr>
          <w:i w:val="1"/>
          <w:iCs w:val="1"/>
          <w:rtl w:val="0"/>
        </w:rPr>
        <w:t xml:space="preserve">[Wybierz właściwe]</w:t>
      </w:r>
    </w:p>
    <w:p w:rsidR="00000000" w:rsidDel="00000000" w:rsidP="00000000" w:rsidRDefault="00000000" w:rsidRPr="00000000" w14:paraId="00000030">
      <w:pPr>
        <w:numPr>
          <w:ilvl w:val="0"/>
          <w:numId w:val="7"/>
        </w:numPr>
        <w:spacing w:after="0" w:afterAutospacing="0" w:before="240" w:lineRule="auto"/>
        <w:ind w:left="720" w:hanging="360"/>
      </w:pPr>
      <w:r w:rsidDel="00000000" w:rsidR="00000000" w:rsidRPr="00000000">
        <w:rPr>
          <w:rtl w:val="0"/>
        </w:rPr>
        <w:t xml:space="preserve">Na tej stronie internetowej można używać standardowych skrótów klawiaturowych przeglądarki.</w:t>
      </w:r>
    </w:p>
    <w:p w:rsidR="00000000" w:rsidDel="00000000" w:rsidP="00000000" w:rsidRDefault="00000000" w:rsidRPr="00000000" w14:paraId="00000031">
      <w:pPr>
        <w:numPr>
          <w:ilvl w:val="0"/>
          <w:numId w:val="7"/>
        </w:numPr>
        <w:spacing w:after="240" w:before="0" w:beforeAutospacing="0" w:lineRule="auto"/>
        <w:ind w:left="720" w:hanging="360"/>
      </w:pPr>
      <w:r w:rsidDel="00000000" w:rsidR="00000000" w:rsidRPr="00000000">
        <w:rPr>
          <w:i w:val="1"/>
          <w:iCs w:val="1"/>
          <w:rtl w:val="0"/>
        </w:rPr>
        <w:t xml:space="preserve">[LUB]</w:t>
      </w:r>
      <w:r w:rsidDel="00000000" w:rsidR="00000000" w:rsidRPr="00000000">
        <w:rPr>
          <w:rtl w:val="0"/>
        </w:rPr>
        <w:t xml:space="preserve"> Oprócz standardowych skrótów klawiaturowych dodaliśmy: [opisz dodane skróty].</w:t>
      </w:r>
    </w:p>
    <w:p w:rsidR="00000000" w:rsidDel="00000000" w:rsidP="00000000" w:rsidRDefault="00000000" w:rsidRPr="00000000" w14:paraId="00000032">
      <w:pPr>
        <w:spacing w:after="240" w:before="240" w:lineRule="auto"/>
        <w:rPr/>
      </w:pPr>
      <w:r w:rsidDel="00000000" w:rsidR="00000000" w:rsidRPr="00000000">
        <w:rPr>
          <w:b w:val="1"/>
          <w:bCs w:val="1"/>
          <w:rtl w:val="0"/>
        </w:rPr>
        <w:t xml:space="preserve">Informacje zwrotne i dane kontaktowe</w:t>
      </w:r>
      <w:r w:rsidDel="00000000" w:rsidR="00000000" w:rsidRPr="00000000">
        <w:rPr>
          <w:rtl w:val="0"/>
        </w:rPr>
        <w:t xml:space="preserve"> W przypadku problemów z dostępnością strony internetowej prosimy o kontakt. Osobą kontaktową jest [Imię i Nazwisko], [adres e-mail]. Kontaktować można się także dzwoniąc na numer telefonu [Numer telefonu]. Tą samą drogą można składać wnioski o udostępnienie informacji niedostępnej oraz składać skargi na brak zapewnienia dostępności.</w:t>
      </w:r>
    </w:p>
    <w:p w:rsidR="00000000" w:rsidDel="00000000" w:rsidP="00000000" w:rsidRDefault="00000000" w:rsidRPr="00000000" w14:paraId="00000033">
      <w:pPr>
        <w:spacing w:after="240" w:before="240" w:lineRule="auto"/>
        <w:rPr/>
      </w:pPr>
      <w:r w:rsidDel="00000000" w:rsidR="00000000" w:rsidRPr="00000000">
        <w:rPr>
          <w:b w:val="1"/>
          <w:bCs w:val="1"/>
          <w:rtl w:val="0"/>
        </w:rPr>
        <w:t xml:space="preserve">Postępowanie odwoławcze</w:t>
      </w:r>
      <w:r w:rsidDel="00000000" w:rsidR="00000000" w:rsidRPr="00000000">
        <w:rPr>
          <w:rtl w:val="0"/>
        </w:rPr>
        <w:t xml:space="preserve"> Każdy ma prawo wystąpić z żądaniem zapewnienia dostępności cyfrowej strony internetowej, aplikacji mobilnej lub jakiegoś ich elementu. Można także zażądać udostępnienia informacji za pomocą alternatywnego sposobu dostępu, na przykład przez odczytanie niedostępnego cyfrowo dokumentu, opisanie zawartości filmu bez audiodeskrypcji itp. Żądanie powinno zawierać dane osoby zgłaszającej żądanie, wskazanie, o którą stronę internetową lub aplikację mobilną chodzi oraz sposób kontaktu. Jeżeli osoba żądająca zgłasza potrzebę otrzymania informacji za pomocą alternatywnego sposobu dostępu, powinna także określić dogodny dla niej sposób przedstawienia tej informacji.</w:t>
      </w:r>
    </w:p>
    <w:p w:rsidR="00000000" w:rsidDel="00000000" w:rsidP="00000000" w:rsidRDefault="00000000" w:rsidRPr="00000000" w14:paraId="00000034">
      <w:pPr>
        <w:spacing w:after="240" w:before="240" w:lineRule="auto"/>
        <w:rPr/>
      </w:pPr>
      <w:r w:rsidDel="00000000" w:rsidR="00000000" w:rsidRPr="00000000">
        <w:rPr>
          <w:rtl w:val="0"/>
        </w:rPr>
        <w:t xml:space="preserve">Podmiot publiczny powinien zrealizować żądanie niezwłocznie, nie później niż w ciągu 7 dni od dnia wystąpienia z żądaniem. Jeżeli dotrzymanie tego terminu nie jest możliwe, podmiot publiczny niezwłocznie informuje o tym wnoszącego żądanie, kiedy realizacja żądania będzie możliwa, przy czym termin ten nie może być dłuższy niż 2 miesiące od dnia wystąpienia z żądaniem .</w:t>
      </w:r>
    </w:p>
    <w:p w:rsidR="00000000" w:rsidDel="00000000" w:rsidP="00000000" w:rsidRDefault="00000000" w:rsidRPr="00000000" w14:paraId="00000035">
      <w:pPr>
        <w:rPr/>
      </w:pPr>
      <w:r w:rsidDel="00000000" w:rsidR="00000000" w:rsidRPr="00000000">
        <w:rPr>
          <w:rtl w:val="0"/>
        </w:rPr>
        <w:t xml:space="preserve">+1</w:t>
      </w:r>
    </w:p>
    <w:p w:rsidR="00000000" w:rsidDel="00000000" w:rsidP="00000000" w:rsidRDefault="00000000" w:rsidRPr="00000000" w14:paraId="00000036">
      <w:pPr>
        <w:spacing w:after="240" w:before="240" w:lineRule="auto"/>
        <w:rPr/>
      </w:pPr>
      <w:r w:rsidDel="00000000" w:rsidR="00000000" w:rsidRPr="00000000">
        <w:rPr>
          <w:rtl w:val="0"/>
        </w:rPr>
        <w:t xml:space="preserve">Jeżeli zapewnienie dostępności cyfrowej nie jest możliwe, podmiot publiczny może zaproponować alternatywny sposób dostępu do informacji. W przypadku, gdy podmiot publiczny odmówi realizacji żądania zapewnienia dostępności lub alternatywnego sposobu dostępu do informacji, wnoszący żądanie możne złożyć skargę w sprawie zapewniana dostępności cyfrowej strony internetowej, aplikacji mobilnej lub elementu strony internetowej, lub aplikacji mobilnej.</w:t>
      </w:r>
    </w:p>
    <w:p w:rsidR="00000000" w:rsidDel="00000000" w:rsidP="00000000" w:rsidRDefault="00000000" w:rsidRPr="00000000" w14:paraId="00000037">
      <w:pPr>
        <w:spacing w:after="240" w:before="240" w:lineRule="auto"/>
        <w:rPr/>
      </w:pPr>
      <w:r w:rsidDel="00000000" w:rsidR="00000000" w:rsidRPr="00000000">
        <w:rPr>
          <w:rtl w:val="0"/>
        </w:rPr>
        <w:t xml:space="preserve">Po wyczerpaniu wskazanej wyżej procedury można także złożyć wniosek do Rzecznika Praw Obywatelskich. Link do strony internetowej Rzecznika Praw Obywatelskich: [wstaw link do RPO].</w:t>
      </w:r>
    </w:p>
    <w:p w:rsidR="00000000" w:rsidDel="00000000" w:rsidP="00000000" w:rsidRDefault="00000000" w:rsidRPr="00000000" w14:paraId="00000038">
      <w:pPr>
        <w:spacing w:after="240" w:before="240" w:lineRule="auto"/>
        <w:rPr>
          <w:i w:val="1"/>
          <w:iCs w:val="1"/>
        </w:rPr>
      </w:pPr>
      <w:r w:rsidDel="00000000" w:rsidR="00000000" w:rsidRPr="00000000">
        <w:rPr>
          <w:b w:val="1"/>
          <w:bCs w:val="1"/>
          <w:rtl w:val="0"/>
        </w:rPr>
        <w:t xml:space="preserve">Dostępność architektoniczna</w:t>
      </w:r>
      <w:r w:rsidDel="00000000" w:rsidR="00000000" w:rsidRPr="00000000">
        <w:rPr>
          <w:rtl w:val="0"/>
        </w:rPr>
        <w:t xml:space="preserve"> [Adres siedziby podmiotu] </w:t>
      </w:r>
      <w:r w:rsidDel="00000000" w:rsidR="00000000" w:rsidRPr="00000000">
        <w:rPr>
          <w:i w:val="1"/>
          <w:iCs w:val="1"/>
          <w:rtl w:val="0"/>
        </w:rPr>
        <w:t xml:space="preserve">[Opisz stan faktyczny, uwzględniając poniższe punkty]</w:t>
      </w:r>
    </w:p>
    <w:p w:rsidR="00000000" w:rsidDel="00000000" w:rsidP="00000000" w:rsidRDefault="00000000" w:rsidRPr="00000000" w14:paraId="00000039">
      <w:pPr>
        <w:numPr>
          <w:ilvl w:val="0"/>
          <w:numId w:val="3"/>
        </w:numPr>
        <w:spacing w:after="0" w:afterAutospacing="0" w:before="240" w:lineRule="auto"/>
        <w:ind w:left="720" w:hanging="360"/>
      </w:pPr>
      <w:r w:rsidDel="00000000" w:rsidR="00000000" w:rsidRPr="00000000">
        <w:rPr>
          <w:b w:val="1"/>
          <w:bCs w:val="1"/>
          <w:rtl w:val="0"/>
        </w:rPr>
        <w:t xml:space="preserve">Dostępność wejścia:</w:t>
      </w:r>
      <w:r w:rsidDel="00000000" w:rsidR="00000000" w:rsidRPr="00000000">
        <w:rPr>
          <w:rtl w:val="0"/>
        </w:rPr>
        <w:t xml:space="preserve"> [Opisz wejście, schody, podjazdy].</w:t>
      </w:r>
    </w:p>
    <w:p w:rsidR="00000000" w:rsidDel="00000000" w:rsidP="00000000" w:rsidRDefault="00000000" w:rsidRPr="00000000" w14:paraId="0000003A">
      <w:pPr>
        <w:numPr>
          <w:ilvl w:val="0"/>
          <w:numId w:val="3"/>
        </w:numPr>
        <w:spacing w:after="0" w:afterAutospacing="0" w:before="0" w:beforeAutospacing="0" w:lineRule="auto"/>
        <w:ind w:left="720" w:hanging="360"/>
      </w:pPr>
      <w:r w:rsidDel="00000000" w:rsidR="00000000" w:rsidRPr="00000000">
        <w:rPr>
          <w:b w:val="1"/>
          <w:bCs w:val="1"/>
          <w:rtl w:val="0"/>
        </w:rPr>
        <w:t xml:space="preserve">Dostępność korytarzy i wind:</w:t>
      </w:r>
      <w:r w:rsidDel="00000000" w:rsidR="00000000" w:rsidRPr="00000000">
        <w:rPr>
          <w:rtl w:val="0"/>
        </w:rPr>
        <w:t xml:space="preserve"> [Opisz szerokość korytarzy, dostępność wind].</w:t>
      </w:r>
    </w:p>
    <w:p w:rsidR="00000000" w:rsidDel="00000000" w:rsidP="00000000" w:rsidRDefault="00000000" w:rsidRPr="00000000" w14:paraId="0000003B">
      <w:pPr>
        <w:numPr>
          <w:ilvl w:val="0"/>
          <w:numId w:val="3"/>
        </w:numPr>
        <w:spacing w:after="0" w:afterAutospacing="0" w:before="0" w:beforeAutospacing="0" w:lineRule="auto"/>
        <w:ind w:left="720" w:hanging="360"/>
      </w:pPr>
      <w:r w:rsidDel="00000000" w:rsidR="00000000" w:rsidRPr="00000000">
        <w:rPr>
          <w:b w:val="1"/>
          <w:bCs w:val="1"/>
          <w:rtl w:val="0"/>
        </w:rPr>
        <w:t xml:space="preserve">Dostosowania:</w:t>
      </w:r>
      <w:r w:rsidDel="00000000" w:rsidR="00000000" w:rsidRPr="00000000">
        <w:rPr>
          <w:rtl w:val="0"/>
        </w:rPr>
        <w:t xml:space="preserve"> [Wymień pochylnie, platformy, pętle indukcyjne itp.].</w:t>
      </w:r>
    </w:p>
    <w:p w:rsidR="00000000" w:rsidDel="00000000" w:rsidP="00000000" w:rsidRDefault="00000000" w:rsidRPr="00000000" w14:paraId="0000003C">
      <w:pPr>
        <w:numPr>
          <w:ilvl w:val="0"/>
          <w:numId w:val="3"/>
        </w:numPr>
        <w:spacing w:after="0" w:afterAutospacing="0" w:before="0" w:beforeAutospacing="0" w:lineRule="auto"/>
        <w:ind w:left="720" w:hanging="360"/>
      </w:pPr>
      <w:r w:rsidDel="00000000" w:rsidR="00000000" w:rsidRPr="00000000">
        <w:rPr>
          <w:b w:val="1"/>
          <w:bCs w:val="1"/>
          <w:rtl w:val="0"/>
        </w:rPr>
        <w:t xml:space="preserve">Parking:</w:t>
      </w:r>
      <w:r w:rsidDel="00000000" w:rsidR="00000000" w:rsidRPr="00000000">
        <w:rPr>
          <w:rtl w:val="0"/>
        </w:rPr>
        <w:t xml:space="preserve"> [Informacja o miejscach dla niepełnosprawnych].</w:t>
      </w:r>
    </w:p>
    <w:p w:rsidR="00000000" w:rsidDel="00000000" w:rsidP="00000000" w:rsidRDefault="00000000" w:rsidRPr="00000000" w14:paraId="0000003D">
      <w:pPr>
        <w:numPr>
          <w:ilvl w:val="0"/>
          <w:numId w:val="3"/>
        </w:numPr>
        <w:spacing w:after="0" w:afterAutospacing="0" w:before="0" w:beforeAutospacing="0" w:lineRule="auto"/>
        <w:ind w:left="720" w:hanging="360"/>
      </w:pPr>
      <w:r w:rsidDel="00000000" w:rsidR="00000000" w:rsidRPr="00000000">
        <w:rPr>
          <w:b w:val="1"/>
          <w:bCs w:val="1"/>
          <w:rtl w:val="0"/>
        </w:rPr>
        <w:t xml:space="preserve">Pies asystujący:</w:t>
      </w:r>
      <w:r w:rsidDel="00000000" w:rsidR="00000000" w:rsidRPr="00000000">
        <w:rPr>
          <w:rtl w:val="0"/>
        </w:rPr>
        <w:t xml:space="preserve"> [Informacja o możliwości wstępu z psem].</w:t>
      </w:r>
    </w:p>
    <w:p w:rsidR="00000000" w:rsidDel="00000000" w:rsidP="00000000" w:rsidRDefault="00000000" w:rsidRPr="00000000" w14:paraId="0000003E">
      <w:pPr>
        <w:numPr>
          <w:ilvl w:val="0"/>
          <w:numId w:val="3"/>
        </w:numPr>
        <w:spacing w:after="240" w:before="0" w:beforeAutospacing="0" w:lineRule="auto"/>
        <w:ind w:left="720" w:hanging="360"/>
      </w:pPr>
      <w:r w:rsidDel="00000000" w:rsidR="00000000" w:rsidRPr="00000000">
        <w:rPr>
          <w:b w:val="1"/>
          <w:bCs w:val="1"/>
          <w:rtl w:val="0"/>
        </w:rPr>
        <w:t xml:space="preserve">Tłumacz języka migowego:</w:t>
      </w:r>
      <w:r w:rsidDel="00000000" w:rsidR="00000000" w:rsidRPr="00000000">
        <w:rPr>
          <w:rtl w:val="0"/>
        </w:rPr>
        <w:t xml:space="preserve"> [Informacja o dostępności tłumacza online lub na miejscu].</w:t>
      </w:r>
    </w:p>
    <w:p w:rsidR="00000000" w:rsidDel="00000000" w:rsidP="00000000" w:rsidRDefault="00000000" w:rsidRPr="00000000" w14:paraId="0000003F">
      <w:pPr>
        <w:spacing w:after="240" w:before="240" w:lineRule="auto"/>
        <w:rPr/>
      </w:pPr>
      <w:r w:rsidDel="00000000" w:rsidR="00000000" w:rsidRPr="00000000">
        <w:rPr>
          <w:b w:val="1"/>
          <w:bCs w:val="1"/>
          <w:rtl w:val="0"/>
        </w:rPr>
        <w:t xml:space="preserve">Aplikacje mobilne</w:t>
      </w:r>
      <w:r w:rsidDel="00000000" w:rsidR="00000000" w:rsidRPr="00000000">
        <w:rPr>
          <w:rtl w:val="0"/>
        </w:rPr>
        <w:t xml:space="preserve"> </w:t>
      </w:r>
      <w:r w:rsidDel="00000000" w:rsidR="00000000" w:rsidRPr="00000000">
        <w:rPr>
          <w:i w:val="1"/>
          <w:iCs w:val="1"/>
          <w:rtl w:val="0"/>
        </w:rPr>
        <w:t xml:space="preserve">[Wypełnij tylko jeśli posiadasz aplikację. Jeśli nie - usuń tę sekcję]</w:t>
      </w:r>
      <w:r w:rsidDel="00000000" w:rsidR="00000000" w:rsidRPr="00000000">
        <w:rPr>
          <w:rtl w:val="0"/>
        </w:rPr>
        <w:t xml:space="preserve"> [Nazwa podmiotu] udostępnia następujące aplikacje mobilne:</w:t>
      </w:r>
    </w:p>
    <w:p w:rsidR="00000000" w:rsidDel="00000000" w:rsidP="00000000" w:rsidRDefault="00000000" w:rsidRPr="00000000" w14:paraId="00000040">
      <w:pPr>
        <w:numPr>
          <w:ilvl w:val="0"/>
          <w:numId w:val="6"/>
        </w:numPr>
        <w:spacing w:after="240" w:before="240" w:lineRule="auto"/>
        <w:ind w:left="720" w:hanging="360"/>
      </w:pPr>
      <w:r w:rsidDel="00000000" w:rsidR="00000000" w:rsidRPr="00000000">
        <w:rPr>
          <w:rtl w:val="0"/>
        </w:rPr>
        <w:t xml:space="preserve">[Nazwa aplikacji] – [link do pobrania]. Deklaracja dostępności aplikacji: [link do deklaracji].</w:t>
      </w:r>
    </w:p>
    <w:p w:rsidR="00000000" w:rsidDel="00000000" w:rsidP="00000000" w:rsidRDefault="00000000" w:rsidRPr="00000000" w14:paraId="00000041">
      <w:pPr>
        <w:rPr/>
      </w:pPr>
      <w:r w:rsidDel="00000000" w:rsidR="00000000" w:rsidRPr="00000000">
        <w:rPr>
          <w:rtl w:val="0"/>
        </w:rPr>
      </w:r>
    </w:p>
    <w:sectPr>
      <w:headerReference r:id="rId6" w:type="default"/>
      <w:headerReference r:id="rId7" w:type="first"/>
      <w:footerReference r:id="rId8" w:type="default"/>
      <w:footerReference r:id="rId9"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bas Neue">
    <w:embedRegular w:fontKey="{00000000-0000-0000-0000-000000000000}" r:id="rId5" w:subsetted="0"/>
  </w:font>
  <w:font w:name="Rubik">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Rubik SemiBold">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Roboto Mono">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sz w:val="18"/>
        <w:szCs w:val="18"/>
      </w:rPr>
    </w:pPr>
    <w:r w:rsidDel="00000000" w:rsidR="00000000" w:rsidRPr="00000000">
      <w:rPr>
        <w:rtl w:val="0"/>
      </w:rPr>
    </w:r>
  </w:p>
  <w:tbl>
    <w:tblPr>
      <w:tblStyle w:val="Table1"/>
      <w:tblW w:w="9390.0" w:type="dxa"/>
      <w:jc w:val="left"/>
      <w:tblInd w:w="-210.0" w:type="dxa"/>
      <w:tblLayout w:type="fixed"/>
      <w:tblLook w:val="0600"/>
    </w:tblPr>
    <w:tblGrid>
      <w:gridCol w:w="3210"/>
      <w:gridCol w:w="3795"/>
      <w:gridCol w:w="2385"/>
      <w:tblGridChange w:id="0">
        <w:tblGrid>
          <w:gridCol w:w="3210"/>
          <w:gridCol w:w="3795"/>
          <w:gridCol w:w="2385"/>
        </w:tblGrid>
      </w:tblGridChange>
    </w:tblGrid>
    <w:tr>
      <w:trPr>
        <w:cantSplit w:val="0"/>
        <w:trHeight w:val="535.5899999999999" w:hRule="atLeast"/>
        <w:tblHeader w:val="0"/>
      </w:trPr>
      <w:tc>
        <w:tcPr>
          <w:tcBorders>
            <w:top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rPr>
              <w:sz w:val="18"/>
              <w:szCs w:val="18"/>
            </w:rPr>
          </w:pPr>
          <w:r w:rsidDel="00000000" w:rsidR="00000000" w:rsidRPr="00000000">
            <w:rPr>
              <w:sz w:val="18"/>
              <w:szCs w:val="18"/>
              <w:rtl w:val="0"/>
            </w:rPr>
            <w:t xml:space="preserve">GORILLA SOFTWARE Sp. z o.o.</w:t>
          </w:r>
        </w:p>
        <w:p w:rsidR="00000000" w:rsidDel="00000000" w:rsidP="00000000" w:rsidRDefault="00000000" w:rsidRPr="00000000" w14:paraId="00000045">
          <w:pPr>
            <w:rPr>
              <w:sz w:val="18"/>
              <w:szCs w:val="18"/>
            </w:rPr>
          </w:pPr>
          <w:r w:rsidDel="00000000" w:rsidR="00000000" w:rsidRPr="00000000">
            <w:rPr>
              <w:sz w:val="18"/>
              <w:szCs w:val="18"/>
              <w:rtl w:val="0"/>
            </w:rPr>
            <w:t xml:space="preserve">NIP: 8133856997</w:t>
          </w:r>
        </w:p>
      </w:tc>
      <w:tc>
        <w:tcPr>
          <w:tcBorders>
            <w:top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rPr>
              <w:sz w:val="18"/>
              <w:szCs w:val="18"/>
            </w:rPr>
          </w:pPr>
          <w:r w:rsidDel="00000000" w:rsidR="00000000" w:rsidRPr="00000000">
            <w:rPr>
              <w:sz w:val="18"/>
              <w:szCs w:val="18"/>
              <w:rtl w:val="0"/>
            </w:rPr>
            <w:t xml:space="preserve">ul. Jana I Jędrzeja Śniadeckich 20D/7</w:t>
          </w:r>
        </w:p>
        <w:p w:rsidR="00000000" w:rsidDel="00000000" w:rsidP="00000000" w:rsidRDefault="00000000" w:rsidRPr="00000000" w14:paraId="00000047">
          <w:pPr>
            <w:rPr>
              <w:sz w:val="18"/>
              <w:szCs w:val="18"/>
            </w:rPr>
          </w:pPr>
          <w:r w:rsidDel="00000000" w:rsidR="00000000" w:rsidRPr="00000000">
            <w:rPr>
              <w:sz w:val="18"/>
              <w:szCs w:val="18"/>
              <w:rtl w:val="0"/>
            </w:rPr>
            <w:t xml:space="preserve">35-006 Rzeszów</w:t>
          </w:r>
        </w:p>
      </w:tc>
      <w:tc>
        <w:tcPr>
          <w:tcBorders>
            <w:top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Kontakt:</w:t>
          </w:r>
        </w:p>
        <w:p w:rsidR="00000000" w:rsidDel="00000000" w:rsidP="00000000" w:rsidRDefault="00000000" w:rsidRPr="00000000" w14:paraId="00000049">
          <w:pPr>
            <w:widowControl w:val="0"/>
            <w:spacing w:line="240" w:lineRule="auto"/>
            <w:rPr>
              <w:sz w:val="18"/>
              <w:szCs w:val="18"/>
            </w:rPr>
          </w:pPr>
          <w:r w:rsidDel="00000000" w:rsidR="00000000" w:rsidRPr="00000000">
            <w:rPr>
              <w:sz w:val="18"/>
              <w:szCs w:val="18"/>
              <w:rtl w:val="0"/>
            </w:rPr>
            <w:t xml:space="preserve">contact@softgorillas.com</w:t>
          </w:r>
        </w:p>
      </w:tc>
    </w:tr>
  </w:tbl>
  <w:p w:rsidR="00000000" w:rsidDel="00000000" w:rsidP="00000000" w:rsidRDefault="00000000" w:rsidRPr="00000000" w14:paraId="0000004A">
    <w:pPr>
      <w:rPr>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4104000</wp:posOffset>
          </wp:positionH>
          <wp:positionV relativeFrom="paragraph">
            <wp:posOffset>1</wp:posOffset>
          </wp:positionV>
          <wp:extent cx="2090738" cy="316042"/>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90738" cy="31604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ubik" w:cs="Rubik" w:eastAsia="Rubik" w:hAnsi="Rubik"/>
        <w:sz w:val="22"/>
        <w:szCs w:val="22"/>
        <w:lang w:val="p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Rubik SemiBold" w:cs="Rubik SemiBold" w:eastAsia="Rubik SemiBold" w:hAnsi="Rubik SemiBold"/>
      <w:color w:val="025a37"/>
      <w:sz w:val="32"/>
      <w:szCs w:val="32"/>
    </w:rPr>
  </w:style>
  <w:style w:type="paragraph" w:styleId="Heading2">
    <w:name w:val="heading 2"/>
    <w:basedOn w:val="Normal"/>
    <w:next w:val="Normal"/>
    <w:pPr>
      <w:keepNext w:val="1"/>
      <w:keepLines w:val="1"/>
    </w:pPr>
    <w:rPr>
      <w:rFonts w:ascii="Rubik SemiBold" w:cs="Rubik SemiBold" w:eastAsia="Rubik SemiBold" w:hAnsi="Rubik SemiBold"/>
      <w:color w:val="025a37"/>
      <w:sz w:val="26"/>
      <w:szCs w:val="26"/>
    </w:rPr>
  </w:style>
  <w:style w:type="paragraph" w:styleId="Heading3">
    <w:name w:val="heading 3"/>
    <w:basedOn w:val="Normal"/>
    <w:next w:val="Normal"/>
    <w:pPr>
      <w:keepNext w:val="1"/>
      <w:keepLines w:val="1"/>
    </w:pPr>
    <w:rPr>
      <w:rFonts w:ascii="Rubik SemiBold" w:cs="Rubik SemiBold" w:eastAsia="Rubik SemiBold" w:hAnsi="Rubik SemiBold"/>
      <w:color w:val="025a37"/>
      <w:sz w:val="24"/>
      <w:szCs w:val="24"/>
    </w:rPr>
  </w:style>
  <w:style w:type="paragraph" w:styleId="Heading4">
    <w:name w:val="heading 4"/>
    <w:basedOn w:val="Normal"/>
    <w:next w:val="Normal"/>
    <w:pPr>
      <w:keepNext w:val="1"/>
      <w:keepLines w:val="1"/>
    </w:pPr>
    <w:rPr>
      <w:rFonts w:ascii="Rubik SemiBold" w:cs="Rubik SemiBold" w:eastAsia="Rubik SemiBold" w:hAnsi="Rubik SemiBold"/>
      <w:color w:val="025a37"/>
      <w:sz w:val="24"/>
      <w:szCs w:val="24"/>
    </w:rPr>
  </w:style>
  <w:style w:type="paragraph" w:styleId="Heading5">
    <w:name w:val="heading 5"/>
    <w:basedOn w:val="Normal"/>
    <w:next w:val="Normal"/>
    <w:pPr>
      <w:keepNext w:val="1"/>
      <w:keepLines w:val="1"/>
    </w:pPr>
    <w:rPr>
      <w:rFonts w:ascii="Rubik SemiBold" w:cs="Rubik SemiBold" w:eastAsia="Rubik SemiBold" w:hAnsi="Rubik SemiBold"/>
      <w:color w:val="025a37"/>
      <w:sz w:val="24"/>
      <w:szCs w:val="24"/>
    </w:rPr>
  </w:style>
  <w:style w:type="paragraph" w:styleId="Heading6">
    <w:name w:val="heading 6"/>
    <w:basedOn w:val="Normal"/>
    <w:next w:val="Normal"/>
    <w:pPr>
      <w:keepNext w:val="1"/>
      <w:keepLines w:val="1"/>
    </w:pPr>
    <w:rPr>
      <w:rFonts w:ascii="Rubik SemiBold" w:cs="Rubik SemiBold" w:eastAsia="Rubik SemiBold" w:hAnsi="Rubik SemiBold"/>
      <w:i w:val="1"/>
      <w:iCs w:val="1"/>
      <w:color w:val="025a37"/>
      <w:sz w:val="24"/>
      <w:szCs w:val="24"/>
    </w:rPr>
  </w:style>
  <w:style w:type="paragraph" w:styleId="Title">
    <w:name w:val="Title"/>
    <w:basedOn w:val="Normal"/>
    <w:next w:val="Normal"/>
    <w:pPr>
      <w:keepNext w:val="1"/>
      <w:keepLines w:val="1"/>
      <w:spacing w:after="60" w:lineRule="auto"/>
    </w:pPr>
    <w:rPr>
      <w:rFonts w:ascii="Bebas Neue" w:cs="Bebas Neue" w:eastAsia="Bebas Neue" w:hAnsi="Bebas Neue"/>
      <w:color w:val="025a37"/>
      <w:sz w:val="90"/>
      <w:szCs w:val="90"/>
    </w:rPr>
  </w:style>
  <w:style w:type="paragraph" w:styleId="Subtitle">
    <w:name w:val="Subtitle"/>
    <w:basedOn w:val="Normal"/>
    <w:next w:val="Normal"/>
    <w:pPr>
      <w:keepNext w:val="1"/>
      <w:keepLines w:val="1"/>
    </w:pPr>
    <w:rPr>
      <w:color w:val="025a37"/>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RubikSemiBold-bold.ttf"/><Relationship Id="rId10" Type="http://schemas.openxmlformats.org/officeDocument/2006/relationships/font" Target="fonts/RubikSemiBold-regular.ttf"/><Relationship Id="rId13" Type="http://schemas.openxmlformats.org/officeDocument/2006/relationships/font" Target="fonts/RubikSemiBold-boldItalic.ttf"/><Relationship Id="rId12" Type="http://schemas.openxmlformats.org/officeDocument/2006/relationships/font" Target="fonts/RubikSemi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ubik-boldItalic.ttf"/><Relationship Id="rId15" Type="http://schemas.openxmlformats.org/officeDocument/2006/relationships/font" Target="fonts/RobotoMono-bold.ttf"/><Relationship Id="rId14" Type="http://schemas.openxmlformats.org/officeDocument/2006/relationships/font" Target="fonts/RobotoMono-regular.ttf"/><Relationship Id="rId17" Type="http://schemas.openxmlformats.org/officeDocument/2006/relationships/font" Target="fonts/RobotoMono-boldItalic.ttf"/><Relationship Id="rId16" Type="http://schemas.openxmlformats.org/officeDocument/2006/relationships/font" Target="fonts/RobotoMono-italic.ttf"/><Relationship Id="rId5" Type="http://schemas.openxmlformats.org/officeDocument/2006/relationships/font" Target="fonts/BebasNeue-regular.ttf"/><Relationship Id="rId6" Type="http://schemas.openxmlformats.org/officeDocument/2006/relationships/font" Target="fonts/Rubik-regular.ttf"/><Relationship Id="rId7" Type="http://schemas.openxmlformats.org/officeDocument/2006/relationships/font" Target="fonts/Rubik-bold.ttf"/><Relationship Id="rId8" Type="http://schemas.openxmlformats.org/officeDocument/2006/relationships/font" Target="fonts/Rubik-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